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БЮДЖЕТНОЕ ДОШКОЛЬНОЕ ОБРАЗОВАТЕЛЬНОЕ УЧРЕЖДЕНИЕ ДЕТСКИЙ САД «УЛЫБКА» Г. ВОЛГОДОНСКА</w:t>
      </w:r>
    </w:p>
    <w:p w14:paraId="02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3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4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A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B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C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0E000000">
      <w:pPr>
        <w:spacing w:line="240" w:lineRule="auto"/>
        <w:ind/>
        <w:contextualSpacing w:val="1"/>
        <w:jc w:val="both"/>
        <w:rPr>
          <w:rFonts w:ascii="Times New Roman" w:hAnsi="Times New Roman"/>
          <w:sz w:val="32"/>
        </w:rPr>
      </w:pPr>
    </w:p>
    <w:p w14:paraId="0F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44"/>
        </w:rPr>
      </w:pPr>
      <w:r>
        <w:rPr>
          <w:rFonts w:ascii="Times New Roman" w:hAnsi="Times New Roman"/>
          <w:b w:val="1"/>
          <w:sz w:val="44"/>
        </w:rPr>
        <w:t>Аналитическая справка</w:t>
      </w:r>
    </w:p>
    <w:p w14:paraId="10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по результатам педагогической диагностики</w:t>
      </w:r>
    </w:p>
    <w:p w14:paraId="11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 xml:space="preserve">воспитательно </w:t>
      </w:r>
      <w:r>
        <w:rPr>
          <w:rFonts w:ascii="Times New Roman" w:hAnsi="Times New Roman"/>
          <w:b w:val="1"/>
          <w:sz w:val="32"/>
        </w:rPr>
        <w:t xml:space="preserve">- образовательного процесса </w:t>
      </w:r>
    </w:p>
    <w:p w14:paraId="12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на конец 2024-2025 учебного года</w:t>
      </w:r>
    </w:p>
    <w:p w14:paraId="1300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в подготовительной группе компенсирующей направленности (6-7лет) №14</w:t>
      </w:r>
    </w:p>
    <w:p w14:paraId="14000000">
      <w:pPr>
        <w:spacing w:line="24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1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A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B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1C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Воспитатели: </w:t>
      </w:r>
    </w:p>
    <w:p w14:paraId="1D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Юдина С.М., высшая  </w:t>
      </w:r>
    </w:p>
    <w:p w14:paraId="1E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квалификационная категория;       </w:t>
      </w:r>
    </w:p>
    <w:p w14:paraId="1F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</w:t>
      </w:r>
      <w:r>
        <w:rPr>
          <w:rFonts w:ascii="Times New Roman" w:hAnsi="Times New Roman"/>
          <w:sz w:val="28"/>
        </w:rPr>
        <w:t>Степанько</w:t>
      </w:r>
      <w:r>
        <w:rPr>
          <w:rFonts w:ascii="Times New Roman" w:hAnsi="Times New Roman"/>
          <w:sz w:val="28"/>
        </w:rPr>
        <w:t xml:space="preserve"> Н.А., высшая</w:t>
      </w:r>
    </w:p>
    <w:p w14:paraId="20000000">
      <w:pPr>
        <w:spacing w:line="240" w:lineRule="auto"/>
        <w:ind/>
        <w:contextualSpacing w:val="1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квалификационная категория</w:t>
      </w:r>
    </w:p>
    <w:p w14:paraId="21000000">
      <w:pPr>
        <w:spacing w:line="240" w:lineRule="auto"/>
        <w:ind/>
        <w:contextualSpacing w:val="1"/>
        <w:jc w:val="both"/>
        <w:rPr>
          <w:rFonts w:ascii="Times New Roman" w:hAnsi="Times New Roman"/>
          <w:b w:val="1"/>
          <w:sz w:val="28"/>
        </w:rPr>
      </w:pPr>
    </w:p>
    <w:p w14:paraId="22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3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4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5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6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7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8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9000000">
      <w:pPr>
        <w:spacing w:line="240" w:lineRule="auto"/>
        <w:ind/>
        <w:contextualSpacing w:val="1"/>
        <w:jc w:val="both"/>
        <w:rPr>
          <w:rFonts w:ascii="Times New Roman" w:hAnsi="Times New Roman"/>
          <w:sz w:val="28"/>
        </w:rPr>
      </w:pPr>
    </w:p>
    <w:p w14:paraId="2A000000">
      <w:pPr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г.Волгодонск</w:t>
      </w:r>
      <w:r>
        <w:rPr>
          <w:rFonts w:ascii="Times New Roman" w:hAnsi="Times New Roman"/>
          <w:sz w:val="28"/>
        </w:rPr>
        <w:t>, 2024-2025 учебный год</w:t>
      </w:r>
    </w:p>
    <w:p w14:paraId="2B000000">
      <w:pPr>
        <w:spacing w:line="360" w:lineRule="auto"/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br w:type="page"/>
      </w:r>
      <w:r>
        <w:rPr>
          <w:rFonts w:ascii="Times New Roman" w:hAnsi="Times New Roman"/>
          <w:b w:val="1"/>
          <w:sz w:val="24"/>
        </w:rPr>
        <w:t>Аналитическая справка</w:t>
      </w:r>
    </w:p>
    <w:p w14:paraId="2C000000">
      <w:pPr>
        <w:spacing w:after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приказа заведующего МБДОУ ДС «Улыбка» г. Волгодонска от 15.05.2025  №165 «Об организации педагогической диагностики на конец   2024 - 2025 учебного года» было организовано  проведение педагогической  диагностики по реализуемой Адаптированной образовательной программе дошкольного образования муниципального бюджетного дошкольного образовательного учреждения детского сада «Улыбка» г. Волгодонска для детей с тяжелыми нарушениями речи на конец 2024-2025 учебного года, с целью выявления наличия динамики развития каждого ребенка, в срок с 15.05 по  по 22.05.2025г.. </w:t>
      </w:r>
    </w:p>
    <w:p w14:paraId="2D000000">
      <w:pPr>
        <w:spacing w:after="0" w:line="240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Педагогическая диагностика по реализуемой рабочей программе воспитателей подготовительной группы компенсирующей направленности (6-7 лет) на 2024-2025 учебный год муниципального бюджетного </w:t>
      </w:r>
      <w:r>
        <w:rPr>
          <w:rFonts w:ascii="Times New Roman" w:hAnsi="Times New Roman"/>
          <w:sz w:val="24"/>
        </w:rPr>
        <w:t xml:space="preserve">дошкольного </w:t>
      </w:r>
      <w:r>
        <w:rPr>
          <w:rFonts w:ascii="Times New Roman" w:hAnsi="Times New Roman"/>
          <w:sz w:val="24"/>
        </w:rPr>
        <w:t>образовательного учреждения детского сада «Улыбка» г. Волгодонска разработанной на основе Адаптированной образовательной программы дошкольного образования муниципального бюджетного дошкольного образовательного учреждения детского сада «Улыбка» г. Волгодонска на конец 2024-2025 учебного года включает:</w:t>
      </w:r>
    </w:p>
    <w:p w14:paraId="2E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- образовательные области:</w:t>
      </w:r>
      <w:bookmarkStart w:id="1" w:name="_GoBack"/>
      <w:bookmarkEnd w:id="1"/>
    </w:p>
    <w:p w14:paraId="2F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«Социально – коммуникативное развитие»;</w:t>
      </w:r>
    </w:p>
    <w:p w14:paraId="30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«Познавательное развитие»;</w:t>
      </w:r>
    </w:p>
    <w:p w14:paraId="31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«Речевое развитие»;</w:t>
      </w:r>
    </w:p>
    <w:p w14:paraId="32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«Художественно – эстетическое развитие»;</w:t>
      </w:r>
    </w:p>
    <w:p w14:paraId="33000000">
      <w:pPr>
        <w:numPr>
          <w:ilvl w:val="0"/>
          <w:numId w:val="1"/>
        </w:numPr>
        <w:spacing w:after="0" w:line="240" w:lineRule="auto"/>
        <w:ind w:firstLine="567" w:left="0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«Физическое развитие».</w:t>
      </w:r>
    </w:p>
    <w:p w14:paraId="34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Характеристика детей</w:t>
      </w:r>
    </w:p>
    <w:p w14:paraId="36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 детей в группе: 12</w:t>
      </w:r>
    </w:p>
    <w:p w14:paraId="37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Диагностируемые дети: 11</w:t>
      </w:r>
    </w:p>
    <w:p w14:paraId="38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мальчиков в группе: 8</w:t>
      </w:r>
    </w:p>
    <w:p w14:paraId="39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девочек в группе: 4</w:t>
      </w:r>
    </w:p>
    <w:p w14:paraId="3A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Средний возраст: 7 лет</w:t>
      </w:r>
    </w:p>
    <w:p w14:paraId="3B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Количество </w:t>
      </w:r>
      <w:r>
        <w:rPr>
          <w:rFonts w:ascii="Times New Roman" w:hAnsi="Times New Roman"/>
          <w:sz w:val="24"/>
        </w:rPr>
        <w:t>недиагностируемых</w:t>
      </w:r>
      <w:r>
        <w:rPr>
          <w:rFonts w:ascii="Times New Roman" w:hAnsi="Times New Roman"/>
          <w:sz w:val="24"/>
        </w:rPr>
        <w:t xml:space="preserve"> детей: 1 ребёнок</w:t>
      </w:r>
    </w:p>
    <w:p w14:paraId="3C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Причина: ребёнок длительное время не посещает детский сад по семейным обстоятельствам.</w:t>
      </w:r>
    </w:p>
    <w:p w14:paraId="3D000000">
      <w:pPr>
        <w:spacing w:after="0"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p w14:paraId="3E000000">
      <w:pPr>
        <w:spacing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итогам педагогической диагностики на конец 2024-2025 учебного года выявлены следующие результаты:</w:t>
      </w:r>
    </w:p>
    <w:p w14:paraId="3F000000">
      <w:pPr>
        <w:spacing w:line="240" w:lineRule="auto"/>
        <w:ind w:firstLine="567" w:right="513"/>
        <w:contextualSpacing w:val="1"/>
        <w:jc w:val="both"/>
        <w:rPr>
          <w:rFonts w:ascii="Times New Roman" w:hAnsi="Times New Roman"/>
          <w:sz w:val="24"/>
        </w:rPr>
      </w:pPr>
    </w:p>
    <w:tbl>
      <w:tblPr>
        <w:tblStyle w:val="Style_1"/>
        <w:tblInd w:type="dxa" w:w="-176"/>
        <w:tblLayout w:type="fixed"/>
      </w:tblPr>
      <w:tblGrid>
        <w:gridCol w:w="2101"/>
        <w:gridCol w:w="1220"/>
        <w:gridCol w:w="1300"/>
        <w:gridCol w:w="1250"/>
        <w:gridCol w:w="1260"/>
        <w:gridCol w:w="1230"/>
        <w:gridCol w:w="1170"/>
      </w:tblGrid>
      <w:tr>
        <w:trPr>
          <w:trHeight w:hRule="atLeast" w:val="395"/>
        </w:trPr>
        <w:tc>
          <w:tcPr>
            <w:tcW w:type="dxa" w:w="2101"/>
            <w:vMerge w:val="restart"/>
          </w:tcPr>
          <w:p w14:paraId="4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bookmarkStart w:id="2" w:name="_Hlk167086206"/>
            <w:bookmarkStart w:id="3" w:name="_Hlk167086254"/>
          </w:p>
          <w:p w14:paraId="4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Образовательная область</w:t>
            </w:r>
          </w:p>
        </w:tc>
        <w:tc>
          <w:tcPr>
            <w:tcW w:type="dxa" w:w="3770"/>
            <w:gridSpan w:val="3"/>
          </w:tcPr>
          <w:p w14:paraId="42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Начало года</w:t>
            </w:r>
          </w:p>
        </w:tc>
        <w:tc>
          <w:tcPr>
            <w:tcW w:type="dxa" w:w="3660"/>
            <w:gridSpan w:val="3"/>
          </w:tcPr>
          <w:p w14:paraId="43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Конец года</w:t>
            </w:r>
          </w:p>
        </w:tc>
      </w:tr>
      <w:tr>
        <w:trPr>
          <w:trHeight w:hRule="atLeast" w:val="131"/>
        </w:trPr>
        <w:tc>
          <w:tcPr>
            <w:tcW w:type="dxa" w:w="2101"/>
            <w:gridSpan w:val="1"/>
            <w:vMerge w:val="continue"/>
          </w:tcPr>
          <w:p/>
        </w:tc>
        <w:tc>
          <w:tcPr>
            <w:tcW w:type="dxa" w:w="1220"/>
          </w:tcPr>
          <w:p w14:paraId="44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Высокий</w:t>
            </w:r>
          </w:p>
          <w:p w14:paraId="45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300"/>
          </w:tcPr>
          <w:p w14:paraId="46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Средний</w:t>
            </w:r>
          </w:p>
          <w:p w14:paraId="47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250"/>
          </w:tcPr>
          <w:p w14:paraId="48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Низкий</w:t>
            </w:r>
          </w:p>
          <w:p w14:paraId="49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  <w:tc>
          <w:tcPr>
            <w:tcW w:type="dxa" w:w="1260"/>
          </w:tcPr>
          <w:p w14:paraId="4A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Высокий</w:t>
            </w:r>
          </w:p>
          <w:p w14:paraId="4B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  <w:p w14:paraId="4C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230"/>
          </w:tcPr>
          <w:p w14:paraId="4D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Средний</w:t>
            </w:r>
          </w:p>
          <w:p w14:paraId="4E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  <w:p w14:paraId="4F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1170"/>
          </w:tcPr>
          <w:p w14:paraId="50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Низкий</w:t>
            </w:r>
          </w:p>
          <w:p w14:paraId="51000000">
            <w:pPr>
              <w:spacing w:after="0" w:line="240" w:lineRule="auto"/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уровень</w:t>
            </w:r>
          </w:p>
        </w:tc>
      </w:tr>
      <w:tr>
        <w:trPr>
          <w:trHeight w:hRule="atLeast" w:val="630"/>
        </w:trPr>
        <w:tc>
          <w:tcPr>
            <w:tcW w:type="dxa" w:w="2101"/>
          </w:tcPr>
          <w:p w14:paraId="5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1.«</w:t>
            </w:r>
            <w:r>
              <w:rPr>
                <w:rFonts w:ascii="Times New Roman" w:hAnsi="Times New Roman"/>
                <w:sz w:val="24"/>
              </w:rPr>
              <w:t>Социально – коммуникативное развитие»</w:t>
            </w:r>
          </w:p>
        </w:tc>
        <w:tc>
          <w:tcPr>
            <w:tcW w:type="dxa" w:w="1220"/>
          </w:tcPr>
          <w:p w14:paraId="5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5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5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ребёнка </w:t>
            </w:r>
          </w:p>
          <w:p w14:paraId="5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(27 %)</w:t>
            </w:r>
          </w:p>
        </w:tc>
        <w:tc>
          <w:tcPr>
            <w:tcW w:type="dxa" w:w="1250"/>
          </w:tcPr>
          <w:p w14:paraId="5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детей</w:t>
            </w:r>
          </w:p>
          <w:p w14:paraId="5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(73 %)</w:t>
            </w:r>
            <w:bookmarkEnd w:id="2"/>
          </w:p>
        </w:tc>
        <w:tc>
          <w:tcPr>
            <w:tcW w:type="dxa" w:w="1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детей </w:t>
            </w:r>
          </w:p>
          <w:p w14:paraId="5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(82 %)</w:t>
            </w:r>
          </w:p>
        </w:tc>
        <w:tc>
          <w:tcPr>
            <w:tcW w:type="dxa" w:w="12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5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(18 %)</w:t>
            </w:r>
          </w:p>
        </w:tc>
        <w:tc>
          <w:tcPr>
            <w:tcW w:type="dxa" w:w="11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5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  <w:tr>
        <w:trPr>
          <w:trHeight w:hRule="atLeast" w:val="603"/>
        </w:trPr>
        <w:tc>
          <w:tcPr>
            <w:tcW w:type="dxa" w:w="2101"/>
          </w:tcPr>
          <w:p w14:paraId="5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2.«</w:t>
            </w:r>
            <w:r>
              <w:rPr>
                <w:rFonts w:ascii="Times New Roman" w:hAnsi="Times New Roman"/>
                <w:sz w:val="24"/>
              </w:rPr>
              <w:t>Познавательное развитие»</w:t>
            </w:r>
          </w:p>
        </w:tc>
        <w:tc>
          <w:tcPr>
            <w:tcW w:type="dxa" w:w="1220"/>
          </w:tcPr>
          <w:p w14:paraId="6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6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6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6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(18 %)</w:t>
            </w:r>
          </w:p>
        </w:tc>
        <w:tc>
          <w:tcPr>
            <w:tcW w:type="dxa" w:w="1250"/>
          </w:tcPr>
          <w:p w14:paraId="6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 детей</w:t>
            </w:r>
          </w:p>
          <w:p w14:paraId="6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(82 %)</w:t>
            </w:r>
            <w:bookmarkEnd w:id="3"/>
          </w:p>
        </w:tc>
        <w:tc>
          <w:tcPr>
            <w:tcW w:type="dxa" w:w="1260"/>
          </w:tcPr>
          <w:p w14:paraId="6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8 детей </w:t>
            </w:r>
          </w:p>
          <w:p w14:paraId="6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(73 %)</w:t>
            </w:r>
          </w:p>
        </w:tc>
        <w:tc>
          <w:tcPr>
            <w:tcW w:type="dxa" w:w="1230"/>
          </w:tcPr>
          <w:p w14:paraId="6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ребёнка </w:t>
            </w:r>
          </w:p>
          <w:p w14:paraId="6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(27 %)</w:t>
            </w:r>
          </w:p>
        </w:tc>
        <w:tc>
          <w:tcPr>
            <w:tcW w:type="dxa" w:w="1170"/>
          </w:tcPr>
          <w:p w14:paraId="6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6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  <w:tr>
        <w:trPr>
          <w:trHeight w:hRule="atLeast" w:val="550"/>
        </w:trPr>
        <w:tc>
          <w:tcPr>
            <w:tcW w:type="dxa" w:w="2101"/>
          </w:tcPr>
          <w:p w14:paraId="6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«Речевое развитие»</w:t>
            </w:r>
          </w:p>
        </w:tc>
        <w:tc>
          <w:tcPr>
            <w:tcW w:type="dxa" w:w="1220"/>
          </w:tcPr>
          <w:p w14:paraId="6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6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6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ребёнка </w:t>
            </w:r>
          </w:p>
          <w:p w14:paraId="7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(36 %)</w:t>
            </w:r>
          </w:p>
        </w:tc>
        <w:tc>
          <w:tcPr>
            <w:tcW w:type="dxa" w:w="1250"/>
          </w:tcPr>
          <w:p w14:paraId="7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детей</w:t>
            </w:r>
          </w:p>
          <w:p w14:paraId="7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(64 %)</w:t>
            </w:r>
          </w:p>
        </w:tc>
        <w:tc>
          <w:tcPr>
            <w:tcW w:type="dxa" w:w="1260"/>
          </w:tcPr>
          <w:p w14:paraId="7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детей </w:t>
            </w:r>
          </w:p>
          <w:p w14:paraId="7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(82 %)</w:t>
            </w:r>
          </w:p>
        </w:tc>
        <w:tc>
          <w:tcPr>
            <w:tcW w:type="dxa" w:w="1230"/>
          </w:tcPr>
          <w:p w14:paraId="7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7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(18 %)</w:t>
            </w:r>
          </w:p>
          <w:p w14:paraId="7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7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7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  <w:tr>
        <w:trPr>
          <w:trHeight w:hRule="atLeast" w:val="639"/>
        </w:trPr>
        <w:tc>
          <w:tcPr>
            <w:tcW w:type="dxa" w:w="2101"/>
          </w:tcPr>
          <w:p w14:paraId="7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4.«Художествен</w:t>
            </w:r>
          </w:p>
          <w:p w14:paraId="7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 – эстетическое развитие»</w:t>
            </w:r>
          </w:p>
        </w:tc>
        <w:tc>
          <w:tcPr>
            <w:tcW w:type="dxa" w:w="1220"/>
          </w:tcPr>
          <w:p w14:paraId="7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7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7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ребёнка </w:t>
            </w:r>
          </w:p>
          <w:p w14:paraId="7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(36 %)</w:t>
            </w:r>
          </w:p>
        </w:tc>
        <w:tc>
          <w:tcPr>
            <w:tcW w:type="dxa" w:w="1250"/>
          </w:tcPr>
          <w:p w14:paraId="8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 детей</w:t>
            </w:r>
          </w:p>
          <w:p w14:paraId="8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(64 %)</w:t>
            </w:r>
          </w:p>
        </w:tc>
        <w:tc>
          <w:tcPr>
            <w:tcW w:type="dxa" w:w="1260"/>
          </w:tcPr>
          <w:p w14:paraId="8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6 детей </w:t>
            </w:r>
          </w:p>
          <w:p w14:paraId="8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(55 %)</w:t>
            </w:r>
          </w:p>
        </w:tc>
        <w:tc>
          <w:tcPr>
            <w:tcW w:type="dxa" w:w="1230"/>
          </w:tcPr>
          <w:p w14:paraId="8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5 детей </w:t>
            </w:r>
          </w:p>
          <w:p w14:paraId="8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(45 %)</w:t>
            </w:r>
          </w:p>
          <w:p w14:paraId="8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87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88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  <w:tr>
        <w:trPr>
          <w:trHeight w:hRule="atLeast" w:val="569"/>
        </w:trPr>
        <w:tc>
          <w:tcPr>
            <w:tcW w:type="dxa" w:w="2101"/>
          </w:tcPr>
          <w:p w14:paraId="89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«Физическое развитие»</w:t>
            </w:r>
          </w:p>
        </w:tc>
        <w:tc>
          <w:tcPr>
            <w:tcW w:type="dxa" w:w="1220"/>
          </w:tcPr>
          <w:p w14:paraId="8A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8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  <w:tc>
          <w:tcPr>
            <w:tcW w:type="dxa" w:w="1300"/>
          </w:tcPr>
          <w:p w14:paraId="8C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 ребёнка</w:t>
            </w:r>
          </w:p>
          <w:p w14:paraId="8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(27 %)</w:t>
            </w:r>
          </w:p>
        </w:tc>
        <w:tc>
          <w:tcPr>
            <w:tcW w:type="dxa" w:w="1250"/>
          </w:tcPr>
          <w:p w14:paraId="8E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 детей</w:t>
            </w:r>
          </w:p>
          <w:p w14:paraId="8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(73 %)</w:t>
            </w:r>
          </w:p>
        </w:tc>
        <w:tc>
          <w:tcPr>
            <w:tcW w:type="dxa" w:w="1260"/>
          </w:tcPr>
          <w:p w14:paraId="90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детей </w:t>
            </w:r>
          </w:p>
          <w:p w14:paraId="91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(82 %)</w:t>
            </w:r>
          </w:p>
        </w:tc>
        <w:tc>
          <w:tcPr>
            <w:tcW w:type="dxa" w:w="1230"/>
          </w:tcPr>
          <w:p w14:paraId="92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</w:p>
          <w:p w14:paraId="93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(18 %)</w:t>
            </w:r>
          </w:p>
          <w:p w14:paraId="94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170"/>
          </w:tcPr>
          <w:p w14:paraId="95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</w:t>
            </w:r>
          </w:p>
          <w:p w14:paraId="96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</w:tbl>
    <w:p w14:paraId="97000000">
      <w:pPr>
        <w:pStyle w:val="Style_2"/>
        <w:spacing w:after="0"/>
        <w:ind/>
        <w:contextualSpacing w:val="1"/>
        <w:jc w:val="center"/>
        <w:rPr>
          <w:b w:val="1"/>
        </w:rPr>
      </w:pPr>
    </w:p>
    <w:p w14:paraId="98000000">
      <w:pPr>
        <w:pStyle w:val="Style_2"/>
        <w:spacing w:after="0"/>
        <w:ind/>
        <w:contextualSpacing w:val="1"/>
        <w:jc w:val="center"/>
        <w:rPr>
          <w:b w:val="1"/>
        </w:rPr>
      </w:pPr>
      <w:r>
        <w:rPr>
          <w:b w:val="1"/>
        </w:rPr>
        <w:t>Сводная таблица наличных показателей развития воспитанников подготовительной группы компенсирующей направленности для детей с нарушением речи № 14 на конец 2024-2025 учебного года:</w:t>
      </w:r>
    </w:p>
    <w:p w14:paraId="99000000">
      <w:pPr>
        <w:pStyle w:val="Style_2"/>
        <w:spacing w:after="0"/>
        <w:ind/>
        <w:contextualSpacing w:val="1"/>
        <w:jc w:val="center"/>
        <w:rPr>
          <w:b w:val="1"/>
        </w:rPr>
      </w:pPr>
    </w:p>
    <w:tbl>
      <w:tblPr>
        <w:tblStyle w:val="Style_1"/>
        <w:tblLayout w:type="fixed"/>
      </w:tblPr>
      <w:tblGrid>
        <w:gridCol w:w="4676"/>
        <w:gridCol w:w="4669"/>
      </w:tblGrid>
      <w:tr>
        <w:tc>
          <w:tcPr>
            <w:tcW w:type="dxa" w:w="4676"/>
          </w:tcPr>
          <w:p w14:paraId="9A000000">
            <w:pPr>
              <w:pStyle w:val="Style_2"/>
              <w:ind/>
              <w:contextualSpacing w:val="1"/>
              <w:jc w:val="both"/>
            </w:pPr>
            <w:r>
              <w:t>Высокий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9 детей  </w:t>
            </w:r>
            <w:r>
              <w:rPr>
                <w:rFonts w:ascii="Times New Roman" w:hAnsi="Times New Roman"/>
                <w:sz w:val="24"/>
              </w:rPr>
              <w:t>(82 %)</w:t>
            </w:r>
          </w:p>
        </w:tc>
      </w:tr>
      <w:tr>
        <w:tc>
          <w:tcPr>
            <w:tcW w:type="dxa" w:w="4676"/>
          </w:tcPr>
          <w:p w14:paraId="9C000000">
            <w:pPr>
              <w:pStyle w:val="Style_2"/>
              <w:ind/>
              <w:contextualSpacing w:val="1"/>
              <w:jc w:val="both"/>
            </w:pPr>
            <w:r>
              <w:t>Средний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ребёнка </w:t>
            </w:r>
            <w:r>
              <w:rPr>
                <w:rFonts w:ascii="Times New Roman" w:hAnsi="Times New Roman"/>
                <w:sz w:val="24"/>
              </w:rPr>
              <w:t>(18%)</w:t>
            </w:r>
          </w:p>
        </w:tc>
      </w:tr>
      <w:tr>
        <w:tc>
          <w:tcPr>
            <w:tcW w:type="dxa" w:w="4676"/>
          </w:tcPr>
          <w:p w14:paraId="9E000000">
            <w:pPr>
              <w:pStyle w:val="Style_2"/>
              <w:ind/>
              <w:contextualSpacing w:val="1"/>
              <w:jc w:val="both"/>
            </w:pPr>
            <w:r>
              <w:t>Низкий уровень</w:t>
            </w:r>
          </w:p>
        </w:tc>
        <w:tc>
          <w:tcPr>
            <w:tcW w:type="dxa" w:w="4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spacing w:after="0" w:line="240" w:lineRule="auto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 детей  </w:t>
            </w:r>
            <w:r>
              <w:rPr>
                <w:rFonts w:ascii="Times New Roman" w:hAnsi="Times New Roman"/>
                <w:sz w:val="24"/>
              </w:rPr>
              <w:t>(0 %)</w:t>
            </w:r>
          </w:p>
        </w:tc>
      </w:tr>
    </w:tbl>
    <w:p w14:paraId="A0000000">
      <w:pPr>
        <w:spacing w:afterAutospacing="on" w:beforeAutospacing="on" w:line="240" w:lineRule="auto"/>
        <w:ind w:firstLine="708"/>
        <w:contextualSpacing w:val="1"/>
        <w:jc w:val="both"/>
      </w:pPr>
    </w:p>
    <w:p w14:paraId="A1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данным результатам можно сделать вывод, что за год дети усвоили программный материал и овладели необходимыми знаниями, умениями и навыками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воспитанники демонстрируют положительную динамику развития  по всем образовательным областям.</w:t>
      </w:r>
    </w:p>
    <w:p w14:paraId="A2000000">
      <w:pPr>
        <w:spacing w:afterAutospacing="on" w:beforeAutospacing="on" w:line="240" w:lineRule="auto"/>
        <w:ind w:firstLine="708"/>
        <w:contextualSpacing w:val="1"/>
        <w:jc w:val="both"/>
        <w:rPr>
          <w:rFonts w:ascii="Times New Roman" w:hAnsi="Times New Roman"/>
        </w:rPr>
      </w:pPr>
    </w:p>
    <w:p w14:paraId="A3000000">
      <w:pPr>
        <w:spacing w:afterAutospacing="on" w:beforeAutospacing="on" w:line="240" w:lineRule="auto"/>
        <w:ind w:firstLine="0" w:left="0"/>
        <w:contextualSpacing w:val="1"/>
        <w:jc w:val="center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b w:val="1"/>
          <w:i w:val="1"/>
          <w:sz w:val="24"/>
        </w:rPr>
        <w:t>Рекомендации по результатам педагогической диагностики на конец 2024</w:t>
      </w:r>
      <w:r>
        <w:rPr>
          <w:rFonts w:ascii="Times New Roman" w:hAnsi="Times New Roman"/>
          <w:b w:val="1"/>
          <w:i w:val="1"/>
          <w:sz w:val="24"/>
        </w:rPr>
        <w:t>-2025</w:t>
      </w:r>
      <w:r>
        <w:rPr>
          <w:rFonts w:ascii="Times New Roman" w:hAnsi="Times New Roman"/>
          <w:b w:val="1"/>
          <w:i w:val="1"/>
          <w:sz w:val="24"/>
        </w:rPr>
        <w:t xml:space="preserve"> учебного года родителям с целью организации работы с детьми </w:t>
      </w:r>
      <w:r>
        <w:rPr>
          <w:rFonts w:ascii="Times New Roman" w:hAnsi="Times New Roman"/>
          <w:b w:val="1"/>
          <w:i w:val="1"/>
          <w:sz w:val="24"/>
        </w:rPr>
        <w:t>подготовительной группы компенсирующей направленности для детей с нарушением речи № 14:</w:t>
      </w:r>
    </w:p>
    <w:p w14:paraId="A4000000">
      <w:pPr>
        <w:spacing w:afterAutospacing="on" w:beforeAutospacing="on" w:line="240" w:lineRule="auto"/>
        <w:ind w:firstLine="0" w:left="0"/>
        <w:contextualSpacing w:val="1"/>
        <w:jc w:val="center"/>
        <w:rPr>
          <w:rFonts w:ascii="Times New Roman" w:hAnsi="Times New Roman"/>
          <w:b w:val="1"/>
          <w:i w:val="1"/>
          <w:sz w:val="24"/>
        </w:rPr>
      </w:pPr>
    </w:p>
    <w:p w14:paraId="A5000000">
      <w:pPr>
        <w:spacing w:afterAutospacing="on" w:beforeAutospacing="on" w:line="240" w:lineRule="auto"/>
        <w:ind w:firstLine="567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shd w:fill="F4F4F4" w:val="clear"/>
        </w:rPr>
      </w:pPr>
      <w:r>
        <w:rPr>
          <w:rStyle w:val="Style_3_ch"/>
          <w:rFonts w:ascii="Times New Roman" w:hAnsi="Times New Roman"/>
          <w:b w:val="1"/>
          <w:i w:val="0"/>
          <w:sz w:val="24"/>
        </w:rPr>
        <w:t>Образовательная область «Социально – коммуникативное развитие».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        </w:t>
      </w:r>
    </w:p>
    <w:p w14:paraId="A6000000">
      <w:pPr>
        <w:spacing w:afterAutospacing="on" w:beforeAutospacing="on" w:line="240" w:lineRule="auto"/>
        <w:ind w:firstLine="567"/>
        <w:jc w:val="both"/>
        <w:rPr>
          <w:rFonts w:ascii="Times New Roman" w:hAnsi="Times New Roman"/>
          <w:b w:val="0"/>
          <w:i w:val="0"/>
          <w:caps w:val="0"/>
          <w:color w:val="212529"/>
          <w:spacing w:val="0"/>
          <w:sz w:val="24"/>
          <w:shd w:fill="F4F4F4" w:val="clear"/>
        </w:rPr>
      </w:pPr>
      <w:r>
        <w:rPr>
          <w:rFonts w:ascii="Times New Roman" w:hAnsi="Times New Roman"/>
          <w:b w:val="0"/>
          <w:sz w:val="24"/>
        </w:rPr>
        <w:t xml:space="preserve">Способствовать созданию атмосферы доверия, понимания, уважения в семье, путём создания ситуации доверительного , откровенного общения с ребёнком и между собой. Стараться быть для ребёнка примером  позитивного (конструктивного) общения: адекватно реагировать  на различные ситуации, правильно проявлять  своё отношение к чему-либо или кому-либо, эмоционально откликаться на  ситуацию , показывать верные подходы к решению проблем различного рода. </w:t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4"/>
          <w:highlight w:val="white"/>
        </w:rPr>
        <w:t>Активизировать детей к знакомству и взаимодействию со сверстниками, учить дружить, ценить своих друзей, проявлять инициативу в различных видах деятельности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4"/>
          <w:highlight w:val="white"/>
        </w:rPr>
        <w:t>Развивать</w:t>
      </w:r>
      <w:r>
        <w:rPr>
          <w:rFonts w:ascii="Times New Roman" w:hAnsi="Times New Roman"/>
          <w:b w:val="0"/>
          <w:i w:val="0"/>
          <w:caps w:val="0"/>
          <w:color w:val="111111"/>
          <w:spacing w:val="0"/>
          <w:sz w:val="24"/>
          <w:highlight w:val="white"/>
        </w:rPr>
        <w:t> волевые качества характера у детей (терпение, умение выслушать до конца, целеустремленность, умение закончить начатое) через игры, поручения</w:t>
      </w:r>
      <w:r>
        <w:rPr>
          <w:rFonts w:ascii="Times New Roman" w:hAnsi="Times New Roman"/>
          <w:b w:val="0"/>
          <w:sz w:val="24"/>
        </w:rPr>
        <w:t xml:space="preserve">.    </w:t>
      </w:r>
    </w:p>
    <w:p w14:paraId="A7000000">
      <w:pPr>
        <w:spacing w:afterAutospacing="on" w:beforeAutospacing="on" w:line="240" w:lineRule="auto"/>
        <w:ind w:firstLine="708"/>
        <w:jc w:val="both"/>
        <w:rPr>
          <w:rFonts w:ascii="Times New Roman" w:hAnsi="Times New Roman"/>
          <w:b w:val="0"/>
          <w:sz w:val="24"/>
        </w:rPr>
      </w:pPr>
      <w:r>
        <w:rPr>
          <w:rStyle w:val="Style_3_ch"/>
          <w:rFonts w:ascii="Times New Roman" w:hAnsi="Times New Roman"/>
          <w:b w:val="1"/>
          <w:sz w:val="24"/>
        </w:rPr>
        <w:tab/>
      </w:r>
      <w:r>
        <w:rPr>
          <w:rFonts w:ascii="Times New Roman" w:hAnsi="Times New Roman"/>
          <w:b w:val="1"/>
          <w:sz w:val="24"/>
        </w:rPr>
        <w:t>Образовательная область «Познавательное развитие»</w:t>
      </w:r>
    </w:p>
    <w:p w14:paraId="A8000000">
      <w:pPr>
        <w:spacing w:afterAutospacing="on" w:beforeAutospacing="on" w:line="240" w:lineRule="auto"/>
        <w:ind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Создавать условия для   совместной с детьми исследовательской, проектной и продуктивной деятельности в домашних условиях, способствующей </w:t>
      </w:r>
      <w:r>
        <w:rPr>
          <w:rFonts w:ascii="Times New Roman" w:hAnsi="Times New Roman"/>
          <w:b w:val="0"/>
          <w:sz w:val="24"/>
        </w:rPr>
        <w:t>формированию  и</w:t>
      </w:r>
      <w:r>
        <w:rPr>
          <w:rFonts w:ascii="Times New Roman" w:hAnsi="Times New Roman"/>
          <w:b w:val="0"/>
          <w:sz w:val="24"/>
        </w:rPr>
        <w:t xml:space="preserve"> развитию познавательной активности. </w:t>
      </w:r>
      <w:r>
        <w:rPr>
          <w:rFonts w:ascii="Times New Roman" w:hAnsi="Times New Roman"/>
          <w:b w:val="0"/>
          <w:sz w:val="24"/>
        </w:rPr>
        <w:t>Расширять кругозор детей, их основные представления о природных, социальных явлениях, накапливать у детей знания и впечатления, обсуждая с ними прочитанные книжки, анализируя поведение людей.</w:t>
      </w:r>
      <w:r>
        <w:rPr>
          <w:rFonts w:ascii="Times New Roman" w:hAnsi="Times New Roman"/>
          <w:b w:val="0"/>
          <w:sz w:val="24"/>
        </w:rPr>
        <w:t xml:space="preserve"> Поощрять самостоятельность ребёнка, избегать прямых инструкций, учить детей действовать независимо.</w:t>
      </w:r>
      <w:r>
        <w:rPr>
          <w:rFonts w:ascii="Times New Roman" w:hAnsi="Times New Roman"/>
          <w:b w:val="0"/>
          <w:sz w:val="24"/>
        </w:rPr>
        <w:t xml:space="preserve"> Помнить о главном «педагогическом» результате – не делайте за ребёнка то, что он может сделать самостоятельно</w:t>
      </w:r>
      <w:r>
        <w:rPr>
          <w:rFonts w:ascii="Times New Roman" w:hAnsi="Times New Roman"/>
          <w:b w:val="0"/>
          <w:sz w:val="24"/>
        </w:rPr>
        <w:t xml:space="preserve">. </w:t>
      </w:r>
    </w:p>
    <w:p w14:paraId="A9000000">
      <w:pPr>
        <w:spacing w:afterAutospacing="on" w:beforeAutospacing="on" w:line="240" w:lineRule="auto"/>
        <w:ind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Образовательная область «Речевое </w:t>
      </w:r>
      <w:r>
        <w:rPr>
          <w:rFonts w:ascii="Times New Roman" w:hAnsi="Times New Roman"/>
          <w:b w:val="1"/>
          <w:sz w:val="24"/>
        </w:rPr>
        <w:t>развитие»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 </w:t>
      </w:r>
    </w:p>
    <w:p w14:paraId="AA000000">
      <w:pPr>
        <w:spacing w:afterAutospacing="on" w:beforeAutospacing="on" w:line="240" w:lineRule="auto"/>
        <w:ind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Создавать </w:t>
      </w:r>
      <w:r>
        <w:rPr>
          <w:rFonts w:ascii="Times New Roman" w:hAnsi="Times New Roman"/>
          <w:b w:val="0"/>
          <w:sz w:val="24"/>
        </w:rPr>
        <w:t xml:space="preserve"> условия не только для развития связной речи детей, но и для  развития  всех компонентов устной речи . </w:t>
      </w:r>
      <w:r>
        <w:rPr>
          <w:rFonts w:ascii="Times New Roman" w:hAnsi="Times New Roman"/>
          <w:b w:val="0"/>
          <w:sz w:val="24"/>
        </w:rPr>
        <w:t xml:space="preserve"> Уделять больше времени для диалогического общения с ребенком, открывающего возможность для познания окружающего мира, обмена информацией и эмоциями. </w:t>
      </w:r>
      <w:r>
        <w:rPr>
          <w:rFonts w:ascii="Times New Roman" w:hAnsi="Times New Roman"/>
          <w:b w:val="0"/>
          <w:sz w:val="24"/>
        </w:rPr>
        <w:t xml:space="preserve">Обогащать  и </w:t>
      </w:r>
      <w:r>
        <w:rPr>
          <w:rFonts w:ascii="Times New Roman" w:hAnsi="Times New Roman"/>
          <w:b w:val="0"/>
          <w:sz w:val="24"/>
        </w:rPr>
        <w:t>активизировать   словарь</w:t>
      </w:r>
      <w:r>
        <w:rPr>
          <w:rFonts w:ascii="Times New Roman" w:hAnsi="Times New Roman"/>
          <w:b w:val="0"/>
          <w:sz w:val="24"/>
        </w:rPr>
        <w:t xml:space="preserve">. </w:t>
      </w:r>
      <w:r>
        <w:rPr>
          <w:rFonts w:ascii="Times New Roman" w:hAnsi="Times New Roman"/>
          <w:b w:val="0"/>
          <w:sz w:val="24"/>
        </w:rPr>
        <w:t xml:space="preserve">Стимулировать желание   использовать </w:t>
      </w:r>
      <w:r>
        <w:rPr>
          <w:rFonts w:ascii="Times New Roman" w:hAnsi="Times New Roman"/>
          <w:b w:val="0"/>
          <w:sz w:val="24"/>
        </w:rPr>
        <w:t xml:space="preserve"> детьми  в речи  прилагательных и глаголов. Формировать правильное звукопроизношение, через использование различных упражнений и дидактических игр. Совершенствовать умения детей составлять рассказы по сюжетным картинкам, по набору картинок.</w:t>
      </w:r>
    </w:p>
    <w:p w14:paraId="AB000000">
      <w:pPr>
        <w:tabs>
          <w:tab w:leader="none" w:pos="709" w:val="left"/>
        </w:tabs>
        <w:spacing w:after="0" w:line="240" w:lineRule="auto"/>
        <w:ind w:firstLine="680" w:left="17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1"/>
          <w:sz w:val="24"/>
        </w:rPr>
        <w:t xml:space="preserve">Образовательная область «Художественно – эстетическое </w:t>
      </w:r>
      <w:r>
        <w:rPr>
          <w:rFonts w:ascii="Times New Roman" w:hAnsi="Times New Roman"/>
          <w:b w:val="1"/>
          <w:sz w:val="24"/>
        </w:rPr>
        <w:t>развитие»</w:t>
      </w:r>
    </w:p>
    <w:p w14:paraId="AC000000">
      <w:pPr>
        <w:tabs>
          <w:tab w:leader="none" w:pos="709" w:val="left"/>
        </w:tabs>
        <w:spacing w:after="0" w:line="240" w:lineRule="auto"/>
        <w:ind w:firstLine="709" w:left="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</w:pPr>
    </w:p>
    <w:p w14:paraId="AD000000">
      <w:pPr>
        <w:tabs>
          <w:tab w:leader="none" w:pos="709" w:val="left"/>
        </w:tabs>
        <w:spacing w:after="0" w:line="240" w:lineRule="auto"/>
        <w:ind w:firstLine="709" w:left="0" w:right="113"/>
        <w:contextualSpacing w:val="1"/>
        <w:jc w:val="both"/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Знакомить детей с разными видами искусства путем созерцания картин в музеях, просмотра репродукций в компьютерном режиме, журналах, книгах, поездках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.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 xml:space="preserve"> Создавать условия для поддерживания   желания рисовать, лепить, заниматься аппликацией, конструировать, передавать свои впечатления в изображениях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.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 xml:space="preserve"> Поощрять творчество ребенка, поддерживайте его инициативу.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Организовать совместный просмотр доступных детям по содержанию оперных и балетных спектаклей, совместное посещение концертов, музеев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.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 xml:space="preserve"> Создать театр дома для разыгрывания элементарных жизненных ситуаций с игрушками, инсценировки знакомых литературных произведений, сказок, рассказов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 xml:space="preserve">, с целью 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совершенствования  владения средствами эмоциональной выразительности,  мимикой, жестами</w:t>
      </w:r>
      <w:r>
        <w:rPr>
          <w:rFonts w:ascii="Times New Roman" w:hAnsi="Times New Roman"/>
          <w:b w:val="0"/>
          <w:i w:val="0"/>
          <w:caps w:val="0"/>
          <w:color w:val="333333"/>
          <w:spacing w:val="0"/>
          <w:sz w:val="24"/>
        </w:rPr>
        <w:t>.</w:t>
      </w:r>
    </w:p>
    <w:p w14:paraId="AE000000">
      <w:pPr>
        <w:tabs>
          <w:tab w:leader="none" w:pos="709" w:val="left"/>
        </w:tabs>
        <w:spacing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sz w:val="24"/>
        </w:rPr>
      </w:pPr>
    </w:p>
    <w:p w14:paraId="AF000000">
      <w:pPr>
        <w:tabs>
          <w:tab w:leader="none" w:pos="709" w:val="left"/>
        </w:tabs>
        <w:spacing w:line="240" w:lineRule="auto"/>
        <w:ind w:firstLine="0" w:left="170" w:right="113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</w:t>
      </w:r>
      <w:r>
        <w:rPr>
          <w:rFonts w:ascii="Times New Roman" w:hAnsi="Times New Roman"/>
          <w:b w:val="0"/>
          <w:sz w:val="24"/>
        </w:rPr>
        <w:tab/>
      </w:r>
      <w:r>
        <w:rPr>
          <w:rStyle w:val="Style_3_ch"/>
          <w:rFonts w:ascii="Times New Roman" w:hAnsi="Times New Roman"/>
          <w:b w:val="1"/>
          <w:sz w:val="24"/>
        </w:rPr>
        <w:t>Образовательная область «Физическое развитие»</w:t>
      </w:r>
    </w:p>
    <w:p w14:paraId="B0000000">
      <w:pPr>
        <w:tabs>
          <w:tab w:leader="none" w:pos="709" w:val="left"/>
        </w:tabs>
        <w:spacing w:line="240" w:lineRule="auto"/>
        <w:ind w:firstLine="709" w:left="0" w:right="113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Style w:val="Style_3_ch"/>
          <w:rFonts w:ascii="Times New Roman" w:hAnsi="Times New Roman"/>
          <w:b w:val="1"/>
          <w:sz w:val="24"/>
        </w:rPr>
        <w:t xml:space="preserve"> </w:t>
      </w:r>
    </w:p>
    <w:p w14:paraId="B1000000">
      <w:pPr>
        <w:tabs>
          <w:tab w:leader="none" w:pos="709" w:val="left"/>
        </w:tabs>
        <w:spacing w:line="240" w:lineRule="auto"/>
        <w:ind w:firstLine="709" w:left="0" w:right="113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Продолжать вести здоровый образ жизни семьи,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проводите все свободное время на свежем воздухе, не нарушать режим ребенка. Планировать совместный активный отдых, направленный на воздействие укрепления здоровья детей, тем самым способствовать накоплению и обогащению двигательного опыта детей, развивая у них потребность в двигательной активности, интерес к физическим упражнениям.</w:t>
      </w:r>
    </w:p>
    <w:p w14:paraId="B2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</w:p>
    <w:p w14:paraId="B3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Воспитатели    _____________________   Юдина С. М.</w:t>
      </w:r>
    </w:p>
    <w:p w14:paraId="B4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                         _____________________    </w:t>
      </w:r>
      <w:r>
        <w:rPr>
          <w:rFonts w:ascii="Times New Roman" w:hAnsi="Times New Roman"/>
          <w:b w:val="0"/>
          <w:sz w:val="24"/>
        </w:rPr>
        <w:t>Степанько</w:t>
      </w:r>
      <w:r>
        <w:rPr>
          <w:rFonts w:ascii="Times New Roman" w:hAnsi="Times New Roman"/>
          <w:b w:val="0"/>
          <w:sz w:val="24"/>
        </w:rPr>
        <w:t xml:space="preserve"> Н.А.</w:t>
      </w:r>
    </w:p>
    <w:p w14:paraId="B5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</w:p>
    <w:p w14:paraId="B6000000">
      <w:pPr>
        <w:spacing w:after="120" w:line="240" w:lineRule="auto"/>
        <w:ind w:firstLine="426"/>
        <w:contextualSpacing w:val="1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Дата:_</w:t>
      </w:r>
      <w:r>
        <w:rPr>
          <w:rFonts w:ascii="Times New Roman" w:hAnsi="Times New Roman"/>
          <w:b w:val="0"/>
          <w:sz w:val="24"/>
        </w:rPr>
        <w:t>___________</w:t>
      </w:r>
    </w:p>
    <w:p w14:paraId="B7000000">
      <w:pPr>
        <w:spacing w:after="120" w:line="240" w:lineRule="auto"/>
        <w:ind/>
        <w:contextualSpacing w:val="1"/>
        <w:jc w:val="both"/>
        <w:rPr>
          <w:rFonts w:ascii="Times New Roman" w:hAnsi="Times New Roman"/>
          <w:sz w:val="24"/>
        </w:rPr>
      </w:pPr>
    </w:p>
    <w:sectPr>
      <w:pgSz w:h="16838" w:orient="portrait" w:w="11906"/>
      <w:pgMar w:bottom="851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"/>
      <w:lvlJc w:val="left"/>
      <w:pPr>
        <w:ind w:hanging="360" w:left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ind w:hanging="360" w:left="72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ind w:hanging="360" w:left="108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144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ind w:hanging="360" w:left="180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ind w:hanging="360" w:left="21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ind w:hanging="360" w:left="252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ind w:hanging="360" w:left="324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200" w:line="276" w:lineRule="auto"/>
      <w:ind/>
    </w:pPr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Balloon Text"/>
    <w:basedOn w:val="Style_4"/>
    <w:link w:val="Style_6_ch"/>
    <w:pPr>
      <w:spacing w:after="0" w:line="240" w:lineRule="auto"/>
      <w:ind/>
    </w:pPr>
    <w:rPr>
      <w:rFonts w:ascii="Segoe UI" w:hAnsi="Segoe UI"/>
      <w:sz w:val="18"/>
    </w:rPr>
  </w:style>
  <w:style w:styleId="Style_6_ch" w:type="character">
    <w:name w:val="Balloon Text"/>
    <w:basedOn w:val="Style_4_ch"/>
    <w:link w:val="Style_6"/>
    <w:rPr>
      <w:rFonts w:ascii="Segoe UI" w:hAnsi="Segoe UI"/>
      <w:sz w:val="18"/>
    </w:rPr>
  </w:style>
  <w:style w:styleId="Style_7" w:type="paragraph">
    <w:name w:val="toc 4"/>
    <w:next w:val="Style_4"/>
    <w:link w:val="Style_7_ch"/>
    <w:uiPriority w:val="39"/>
    <w:pPr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4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2" w:type="paragraph">
    <w:name w:val="Normal (Web)"/>
    <w:basedOn w:val="Style_4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Normal (Web)"/>
    <w:basedOn w:val="Style_4_ch"/>
    <w:link w:val="Style_2"/>
    <w:rPr>
      <w:rFonts w:ascii="Times New Roman" w:hAnsi="Times New Roman"/>
      <w:sz w:val="24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toc 3"/>
    <w:next w:val="Style_4"/>
    <w:link w:val="Style_14_ch"/>
    <w:uiPriority w:val="39"/>
    <w:pPr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4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5_ch" w:type="character">
    <w:name w:val="heading 5"/>
    <w:link w:val="Style_15"/>
    <w:rPr>
      <w:rFonts w:ascii="XO Thames" w:hAnsi="XO Thames"/>
      <w:b w:val="1"/>
    </w:rPr>
  </w:style>
  <w:style w:styleId="Style_16" w:type="paragraph">
    <w:name w:val="heading 1"/>
    <w:next w:val="Style_4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/>
      <w:jc w:val="both"/>
    </w:pPr>
    <w:rPr>
      <w:rFonts w:ascii="XO Thames" w:hAnsi="XO Thames"/>
    </w:rPr>
  </w:style>
  <w:style w:styleId="Style_18_ch" w:type="character">
    <w:name w:val="Footnote"/>
    <w:link w:val="Style_18"/>
    <w:rPr>
      <w:rFonts w:ascii="XO Thames" w:hAnsi="XO Thames"/>
    </w:rPr>
  </w:style>
  <w:style w:styleId="Style_19" w:type="paragraph">
    <w:name w:val="toc 1"/>
    <w:next w:val="Style_4"/>
    <w:link w:val="Style_19_ch"/>
    <w:uiPriority w:val="39"/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Основной шрифт абзаца1"/>
    <w:link w:val="Style_21_ch"/>
  </w:style>
  <w:style w:styleId="Style_21_ch" w:type="character">
    <w:name w:val="Основной шрифт абзаца1"/>
    <w:link w:val="Style_21"/>
  </w:style>
  <w:style w:styleId="Style_22" w:type="paragraph">
    <w:name w:val="toc 9"/>
    <w:next w:val="Style_4"/>
    <w:link w:val="Style_22_ch"/>
    <w:uiPriority w:val="39"/>
    <w:pPr>
      <w:ind w:firstLine="0" w:left="1600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List Paragraph"/>
    <w:basedOn w:val="Style_4"/>
    <w:link w:val="Style_23_ch"/>
    <w:pPr>
      <w:ind w:firstLine="0" w:left="720"/>
      <w:contextualSpacing w:val="1"/>
    </w:pPr>
  </w:style>
  <w:style w:styleId="Style_23_ch" w:type="character">
    <w:name w:val="List Paragraph"/>
    <w:basedOn w:val="Style_4_ch"/>
    <w:link w:val="Style_23"/>
  </w:style>
  <w:style w:styleId="Style_24" w:type="paragraph">
    <w:name w:val="toc 8"/>
    <w:next w:val="Style_4"/>
    <w:link w:val="Style_24_ch"/>
    <w:uiPriority w:val="39"/>
    <w:pPr>
      <w:ind w:firstLine="0" w:left="1400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3" w:type="paragraph">
    <w:name w:val="Выделение1"/>
    <w:basedOn w:val="Style_21"/>
    <w:link w:val="Style_3_ch"/>
    <w:rPr>
      <w:i w:val="1"/>
    </w:rPr>
  </w:style>
  <w:style w:styleId="Style_3_ch" w:type="character">
    <w:name w:val="Выделение1"/>
    <w:basedOn w:val="Style_21_ch"/>
    <w:link w:val="Style_3"/>
    <w:rPr>
      <w:i w:val="1"/>
    </w:rPr>
  </w:style>
  <w:style w:styleId="Style_25" w:type="paragraph">
    <w:name w:val="toc 5"/>
    <w:next w:val="Style_4"/>
    <w:link w:val="Style_25_ch"/>
    <w:uiPriority w:val="39"/>
    <w:pPr>
      <w:ind w:firstLine="0" w:left="800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Subtitle"/>
    <w:next w:val="Style_4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oc 10"/>
    <w:next w:val="Style_4"/>
    <w:link w:val="Style_27_ch"/>
    <w:uiPriority w:val="39"/>
    <w:pPr>
      <w:ind w:firstLine="0" w:left="1800"/>
    </w:pPr>
    <w:rPr>
      <w:rFonts w:ascii="XO Thames" w:hAnsi="XO Thames"/>
      <w:sz w:val="28"/>
    </w:rPr>
  </w:style>
  <w:style w:styleId="Style_27_ch" w:type="character">
    <w:name w:val="toc 10"/>
    <w:link w:val="Style_27"/>
    <w:rPr>
      <w:rFonts w:ascii="XO Thames" w:hAnsi="XO Thames"/>
      <w:sz w:val="28"/>
    </w:rPr>
  </w:style>
  <w:style w:styleId="Style_28" w:type="paragraph">
    <w:name w:val="Title"/>
    <w:next w:val="Style_4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Строгий1"/>
    <w:basedOn w:val="Style_21"/>
    <w:link w:val="Style_29_ch"/>
    <w:rPr>
      <w:b w:val="1"/>
    </w:rPr>
  </w:style>
  <w:style w:styleId="Style_29_ch" w:type="character">
    <w:name w:val="Строгий1"/>
    <w:basedOn w:val="Style_21_ch"/>
    <w:link w:val="Style_29"/>
    <w:rPr>
      <w:b w:val="1"/>
    </w:rPr>
  </w:style>
  <w:style w:styleId="Style_30" w:type="paragraph">
    <w:name w:val="heading 4"/>
    <w:next w:val="Style_4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4"/>
    <w:link w:val="Style_3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1" w:type="table">
    <w:name w:val="Table Grid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3" w:type="table">
    <w:name w:val="Сетка таблицы11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34" w:type="table">
    <w:name w:val="Сетка таблицы1"/>
    <w:basedOn w:val="Style_32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2025-05-21T07:50:09Z</dcterms:modified>
</cp:coreProperties>
</file>